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1C" w:rsidRDefault="005B1D1C" w:rsidP="00AE7C51">
      <w:pPr>
        <w:rPr>
          <w:rFonts w:ascii="Times" w:hAnsi="Times" w:cs="Times"/>
          <w:b/>
          <w:bCs/>
          <w:smallCap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CHAMP DISCIPLINAIRE</w:t>
      </w:r>
      <w:r>
        <w:rPr>
          <w:rFonts w:ascii="Times" w:hAnsi="Times" w:cs="Times"/>
          <w:b/>
          <w:bCs/>
          <w:smallCaps/>
          <w:sz w:val="20"/>
          <w:szCs w:val="20"/>
          <w:u w:val="single"/>
        </w:rPr>
        <w:t> :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</w:t>
      </w:r>
      <w:r w:rsidRPr="0055724C">
        <w:rPr>
          <w:rFonts w:ascii="Times" w:hAnsi="Times" w:cs="Times"/>
          <w:b/>
          <w:bCs/>
          <w:smallCaps/>
          <w:sz w:val="20"/>
          <w:szCs w:val="20"/>
        </w:rPr>
        <w:t>HISTOIRE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-  Le  neolithique</w:t>
      </w:r>
    </w:p>
    <w:p w:rsidR="005B1D1C" w:rsidRDefault="005B1D1C" w:rsidP="00AE7C51">
      <w:pPr>
        <w:rPr>
          <w:rFonts w:ascii="Times" w:hAnsi="Times" w:cs="Times"/>
          <w:smallCap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40"/>
        <w:gridCol w:w="540"/>
        <w:gridCol w:w="2306"/>
        <w:gridCol w:w="1521"/>
        <w:gridCol w:w="1260"/>
        <w:gridCol w:w="1080"/>
        <w:gridCol w:w="2884"/>
        <w:gridCol w:w="2516"/>
        <w:gridCol w:w="473"/>
      </w:tblGrid>
      <w:tr w:rsidR="005B1D1C" w:rsidTr="00B30978">
        <w:trPr>
          <w:cantSplit/>
          <w:trHeight w:val="431"/>
        </w:trPr>
        <w:tc>
          <w:tcPr>
            <w:tcW w:w="2950" w:type="dxa"/>
            <w:vAlign w:val="center"/>
          </w:tcPr>
          <w:p w:rsidR="005B1D1C" w:rsidRDefault="005B1D1C" w:rsidP="00A5319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Cycle, socle commun</w:t>
            </w:r>
          </w:p>
          <w:p w:rsidR="005B1D1C" w:rsidRDefault="005B1D1C" w:rsidP="00A53192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20"/>
                <w:szCs w:val="20"/>
              </w:rPr>
              <w:t>de connaissances et de compétences</w:t>
            </w:r>
          </w:p>
        </w:tc>
        <w:tc>
          <w:tcPr>
            <w:tcW w:w="13120" w:type="dxa"/>
            <w:gridSpan w:val="9"/>
            <w:vAlign w:val="center"/>
          </w:tcPr>
          <w:p w:rsidR="005B1D1C" w:rsidRDefault="005B1D1C" w:rsidP="00A53192">
            <w:pPr>
              <w:jc w:val="center"/>
              <w:rPr>
                <w:caps/>
                <w:spacing w:val="120"/>
                <w:sz w:val="20"/>
                <w:szCs w:val="20"/>
              </w:rPr>
            </w:pPr>
            <w:r>
              <w:rPr>
                <w:caps/>
                <w:spacing w:val="120"/>
                <w:sz w:val="20"/>
                <w:szCs w:val="20"/>
              </w:rPr>
              <w:t>Période scolaire considérée</w:t>
            </w:r>
          </w:p>
        </w:tc>
      </w:tr>
      <w:tr w:rsidR="005B1D1C" w:rsidTr="00B30978">
        <w:trPr>
          <w:cantSplit/>
          <w:trHeight w:val="1436"/>
        </w:trPr>
        <w:tc>
          <w:tcPr>
            <w:tcW w:w="2950" w:type="dxa"/>
            <w:vMerge w:val="restart"/>
            <w:vAlign w:val="center"/>
          </w:tcPr>
          <w:p w:rsidR="005B1D1C" w:rsidRDefault="005B1D1C" w:rsidP="00A5319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Compétences, connaissances</w:t>
            </w:r>
            <w:r>
              <w:rPr>
                <w:sz w:val="20"/>
                <w:szCs w:val="20"/>
              </w:rPr>
              <w:t xml:space="preserve"> devant être travaillées dans le champ disciplinaire et en français:</w:t>
            </w:r>
            <w:r>
              <w:rPr>
                <w:sz w:val="20"/>
                <w:szCs w:val="20"/>
              </w:rPr>
              <w:br/>
              <w:t>- compétences de fin d’école maternelle</w:t>
            </w:r>
          </w:p>
          <w:p w:rsidR="005B1D1C" w:rsidRDefault="005B1D1C" w:rsidP="00A53192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connaissances et compétences du socle commun 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:rsidR="005B1D1C" w:rsidRDefault="005B1D1C" w:rsidP="00A53192">
            <w:pPr>
              <w:pStyle w:val="Heading5"/>
            </w:pPr>
            <w:r>
              <w:t xml:space="preserve"> Être capable de…</w:t>
            </w:r>
          </w:p>
        </w:tc>
        <w:tc>
          <w:tcPr>
            <w:tcW w:w="1080" w:type="dxa"/>
            <w:gridSpan w:val="2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 livret</w:t>
            </w:r>
          </w:p>
        </w:tc>
        <w:tc>
          <w:tcPr>
            <w:tcW w:w="2306" w:type="dxa"/>
            <w:vMerge w:val="restart"/>
            <w:vAlign w:val="center"/>
          </w:tcPr>
          <w:p w:rsidR="005B1D1C" w:rsidRPr="00933C9B" w:rsidRDefault="005B1D1C" w:rsidP="00A531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Compétences, connaissances, objectifs </w:t>
            </w:r>
            <w:r w:rsidRPr="00933C9B">
              <w:rPr>
                <w:b/>
                <w:bCs/>
                <w:sz w:val="20"/>
                <w:szCs w:val="20"/>
                <w:u w:val="single"/>
              </w:rPr>
              <w:t xml:space="preserve">d’apprentissage du champ disciplinaire. </w:t>
            </w:r>
          </w:p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Programmes 2008</w:t>
            </w:r>
          </w:p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Être capable de…</w:t>
            </w:r>
          </w:p>
        </w:tc>
        <w:tc>
          <w:tcPr>
            <w:tcW w:w="3861" w:type="dxa"/>
            <w:gridSpan w:val="3"/>
            <w:vAlign w:val="center"/>
          </w:tcPr>
          <w:p w:rsidR="005B1D1C" w:rsidRDefault="005B1D1C" w:rsidP="00A53192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Compétences, connaissances</w:t>
            </w:r>
          </w:p>
          <w:p w:rsidR="005B1D1C" w:rsidRDefault="005B1D1C" w:rsidP="00A53192">
            <w:pPr>
              <w:pStyle w:val="Heading3"/>
            </w:pPr>
            <w:r>
              <w:t>objectifs d’apprentissage en français</w:t>
            </w:r>
          </w:p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Programmes 2008</w:t>
            </w:r>
          </w:p>
          <w:p w:rsidR="005B1D1C" w:rsidRDefault="005B1D1C" w:rsidP="00A53192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Être capable de…</w:t>
            </w:r>
          </w:p>
        </w:tc>
        <w:tc>
          <w:tcPr>
            <w:tcW w:w="2884" w:type="dxa"/>
            <w:vAlign w:val="center"/>
          </w:tcPr>
          <w:p w:rsidR="005B1D1C" w:rsidRDefault="005B1D1C" w:rsidP="00A53192">
            <w:pPr>
              <w:pStyle w:val="Heading3"/>
            </w:pPr>
            <w:r>
              <w:t>Situations d’apprentissage possibles</w:t>
            </w:r>
          </w:p>
        </w:tc>
        <w:tc>
          <w:tcPr>
            <w:tcW w:w="2516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Evaluation</w:t>
            </w:r>
            <w:r>
              <w:rPr>
                <w:sz w:val="20"/>
                <w:szCs w:val="20"/>
              </w:rPr>
              <w:t xml:space="preserve"> (choix des objectifs à évaluer : </w:t>
            </w:r>
            <w:r>
              <w:rPr>
                <w:i/>
                <w:iCs/>
                <w:sz w:val="20"/>
                <w:szCs w:val="20"/>
              </w:rPr>
              <w:t>savoir, savoir-faire, savoir-être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3" w:type="dxa"/>
            <w:textDirection w:val="tbRl"/>
            <w:vAlign w:val="center"/>
          </w:tcPr>
          <w:p w:rsidR="005B1D1C" w:rsidRDefault="005B1D1C" w:rsidP="00A5319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</w:tc>
      </w:tr>
      <w:tr w:rsidR="005B1D1C" w:rsidTr="00B30978">
        <w:trPr>
          <w:cantSplit/>
          <w:trHeight w:val="523"/>
        </w:trPr>
        <w:tc>
          <w:tcPr>
            <w:tcW w:w="2950" w:type="dxa"/>
            <w:vMerge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</w:t>
            </w:r>
          </w:p>
        </w:tc>
        <w:tc>
          <w:tcPr>
            <w:tcW w:w="540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2306" w:type="dxa"/>
            <w:vMerge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Langage oral</w:t>
            </w:r>
          </w:p>
        </w:tc>
        <w:tc>
          <w:tcPr>
            <w:tcW w:w="1260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080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Ecrits, rédaction</w:t>
            </w:r>
          </w:p>
        </w:tc>
        <w:tc>
          <w:tcPr>
            <w:tcW w:w="2884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5B1D1C" w:rsidRDefault="005B1D1C" w:rsidP="00A53192">
            <w:pPr>
              <w:jc w:val="center"/>
              <w:rPr>
                <w:sz w:val="20"/>
                <w:szCs w:val="20"/>
              </w:rPr>
            </w:pPr>
          </w:p>
        </w:tc>
      </w:tr>
      <w:tr w:rsidR="005B1D1C" w:rsidTr="00B30978">
        <w:trPr>
          <w:trHeight w:val="2041"/>
        </w:trPr>
        <w:tc>
          <w:tcPr>
            <w:tcW w:w="2950" w:type="dxa"/>
          </w:tcPr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Être capable d’i</w:t>
            </w:r>
            <w:r w:rsidRPr="00F20FE8">
              <w:rPr>
                <w:rFonts w:ascii="Comic Sans MS" w:hAnsi="Comic Sans MS" w:cs="Comic Sans MS"/>
                <w:sz w:val="18"/>
                <w:szCs w:val="18"/>
              </w:rPr>
              <w:t>denti</w:t>
            </w:r>
            <w:r>
              <w:rPr>
                <w:rFonts w:ascii="Comic Sans MS" w:hAnsi="Comic Sans MS" w:cs="Comic Sans MS"/>
                <w:sz w:val="18"/>
                <w:szCs w:val="18"/>
              </w:rPr>
              <w:t>fier les principales périodes de l’histoire étudiée, mémoriser quelques repères chronologiques pour les situer les uns par rapport aux autres en connaissant une ou deux de leurs caractéristiques majeures.</w:t>
            </w: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F20FE8" w:rsidRDefault="005B1D1C" w:rsidP="00886843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 p 29</w:t>
            </w:r>
          </w:p>
        </w:tc>
        <w:tc>
          <w:tcPr>
            <w:tcW w:w="540" w:type="dxa"/>
          </w:tcPr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F20FE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4700AC">
              <w:rPr>
                <w:rFonts w:ascii="Comic Sans MS" w:hAnsi="Comic Sans MS" w:cs="Comic Sans MS"/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4700AC" w:rsidRDefault="005B1D1C" w:rsidP="00F20FE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4700AC">
              <w:rPr>
                <w:rFonts w:ascii="Comic Sans MS" w:hAnsi="Comic Sans MS" w:cs="Comic Sans MS"/>
                <w:sz w:val="18"/>
                <w:szCs w:val="18"/>
              </w:rPr>
              <w:t>1.1</w:t>
            </w:r>
          </w:p>
        </w:tc>
        <w:tc>
          <w:tcPr>
            <w:tcW w:w="2306" w:type="dxa"/>
          </w:tcPr>
          <w:p w:rsidR="005B1D1C" w:rsidRPr="000506A5" w:rsidRDefault="005B1D1C" w:rsidP="002B46AD">
            <w:pPr>
              <w:pStyle w:val="ListParagraph"/>
              <w:numPr>
                <w:ilvl w:val="0"/>
                <w:numId w:val="4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0506A5">
              <w:rPr>
                <w:rFonts w:ascii="Comic Sans MS" w:hAnsi="Comic Sans MS" w:cs="Comic Sans MS"/>
                <w:sz w:val="18"/>
                <w:szCs w:val="18"/>
              </w:rPr>
              <w:t>Distinguer la période de la Préhistoire, la caractériser et la situer sur une frise.</w:t>
            </w:r>
          </w:p>
          <w:p w:rsidR="005B1D1C" w:rsidRPr="000506A5" w:rsidRDefault="005B1D1C" w:rsidP="002B46AD">
            <w:pPr>
              <w:pStyle w:val="ListParagraph"/>
              <w:numPr>
                <w:ilvl w:val="0"/>
                <w:numId w:val="4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0506A5">
              <w:rPr>
                <w:rFonts w:ascii="Comic Sans MS" w:hAnsi="Comic Sans MS" w:cs="Comic Sans MS"/>
                <w:sz w:val="18"/>
                <w:szCs w:val="18"/>
              </w:rPr>
              <w:t>Repérer la période de la naissance de l’agriculture et les régions concernées, comprendre sa diffusion.</w:t>
            </w:r>
          </w:p>
          <w:p w:rsidR="005B1D1C" w:rsidRPr="000506A5" w:rsidRDefault="005B1D1C" w:rsidP="00393398">
            <w:pPr>
              <w:pStyle w:val="ListParagraph"/>
              <w:numPr>
                <w:ilvl w:val="0"/>
                <w:numId w:val="4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0506A5">
              <w:rPr>
                <w:rFonts w:ascii="Comic Sans MS" w:hAnsi="Comic Sans MS" w:cs="Comic Sans MS"/>
                <w:sz w:val="18"/>
                <w:szCs w:val="18"/>
              </w:rPr>
              <w:t>Comprendre les techniq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ues utilisées pour transporter </w:t>
            </w:r>
            <w:r w:rsidRPr="000506A5">
              <w:rPr>
                <w:rFonts w:ascii="Comic Sans MS" w:hAnsi="Comic Sans MS" w:cs="Comic Sans MS"/>
                <w:sz w:val="18"/>
                <w:szCs w:val="18"/>
              </w:rPr>
              <w:t xml:space="preserve">et construire les </w:t>
            </w:r>
            <w:r>
              <w:rPr>
                <w:rFonts w:ascii="Comic Sans MS" w:hAnsi="Comic Sans MS" w:cs="Comic Sans MS"/>
                <w:sz w:val="18"/>
                <w:szCs w:val="18"/>
              </w:rPr>
              <w:t>mégalithes</w:t>
            </w:r>
            <w:r w:rsidRPr="000506A5"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</w:tc>
        <w:tc>
          <w:tcPr>
            <w:tcW w:w="1521" w:type="dxa"/>
          </w:tcPr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86843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86843">
              <w:rPr>
                <w:rFonts w:ascii="Comic Sans MS" w:hAnsi="Comic Sans MS" w:cs="Comic Sans MS"/>
                <w:sz w:val="16"/>
                <w:szCs w:val="16"/>
              </w:rPr>
              <w:t>Utiliser correctement le lexique spécifique de l’histoire dans les différentes situations</w:t>
            </w:r>
            <w:r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86843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86843">
              <w:rPr>
                <w:rFonts w:ascii="Comic Sans MS" w:hAnsi="Comic Sans MS" w:cs="Comic Sans MS"/>
                <w:sz w:val="16"/>
                <w:szCs w:val="16"/>
              </w:rPr>
              <w:t>Lire la légende d’un document.</w:t>
            </w:r>
          </w:p>
          <w:p w:rsidR="005B1D1C" w:rsidRPr="00886843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86843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Réaliser une frise et situer les deux périodes.</w:t>
            </w: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86843" w:rsidRDefault="005B1D1C" w:rsidP="00886843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Rédiger la trace écrite de synthèse.</w:t>
            </w:r>
          </w:p>
        </w:tc>
        <w:tc>
          <w:tcPr>
            <w:tcW w:w="2884" w:type="dxa"/>
          </w:tcPr>
          <w:p w:rsidR="005B1D1C" w:rsidRPr="002B46AD" w:rsidRDefault="005B1D1C" w:rsidP="002B46AD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B46AD">
              <w:rPr>
                <w:rFonts w:ascii="Comic Sans MS" w:hAnsi="Comic Sans MS" w:cs="Comic Sans MS"/>
                <w:sz w:val="18"/>
                <w:szCs w:val="18"/>
              </w:rPr>
              <w:t>Comparer les modes de vie des deux périodes grâce à des restitutions</w:t>
            </w:r>
            <w:r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  <w:p w:rsidR="005B1D1C" w:rsidRPr="002B46AD" w:rsidRDefault="005B1D1C" w:rsidP="002B46AD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B46AD">
              <w:rPr>
                <w:rFonts w:ascii="Comic Sans MS" w:hAnsi="Comic Sans MS" w:cs="Comic Sans MS"/>
                <w:sz w:val="18"/>
                <w:szCs w:val="18"/>
              </w:rPr>
              <w:t>A partir d’ensembles documentaires, dégager en travail de groupe les nouvelles activités du Néolithique ainsi que les changements de mode de vie.</w:t>
            </w:r>
          </w:p>
          <w:p w:rsidR="005B1D1C" w:rsidRPr="002B46AD" w:rsidRDefault="005B1D1C" w:rsidP="002B46AD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B46AD">
              <w:rPr>
                <w:rFonts w:ascii="Comic Sans MS" w:hAnsi="Comic Sans MS" w:cs="Comic Sans MS"/>
                <w:sz w:val="18"/>
                <w:szCs w:val="18"/>
              </w:rPr>
              <w:t>Mise en commun et discussion collective pour dégager les points forts.</w:t>
            </w:r>
          </w:p>
          <w:p w:rsidR="005B1D1C" w:rsidRPr="000506A5" w:rsidRDefault="005B1D1C" w:rsidP="000506A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</w:tcPr>
          <w:p w:rsidR="005B1D1C" w:rsidRDefault="005B1D1C" w:rsidP="005C63D4">
            <w:pPr>
              <w:pStyle w:val="ListParagraph"/>
              <w:numPr>
                <w:ilvl w:val="0"/>
                <w:numId w:val="5"/>
              </w:numPr>
              <w:ind w:left="226" w:hanging="283"/>
              <w:rPr>
                <w:rFonts w:ascii="Comic Sans MS" w:hAnsi="Comic Sans MS" w:cs="Comic Sans MS"/>
                <w:sz w:val="18"/>
                <w:szCs w:val="18"/>
              </w:rPr>
            </w:pPr>
            <w:r w:rsidRPr="005C63D4">
              <w:rPr>
                <w:rFonts w:ascii="Comic Sans MS" w:hAnsi="Comic Sans MS" w:cs="Comic Sans MS"/>
                <w:sz w:val="18"/>
                <w:szCs w:val="18"/>
              </w:rPr>
              <w:t xml:space="preserve">Expliquer </w:t>
            </w:r>
            <w:r>
              <w:rPr>
                <w:rFonts w:ascii="Comic Sans MS" w:hAnsi="Comic Sans MS" w:cs="Comic Sans MS"/>
                <w:sz w:val="18"/>
                <w:szCs w:val="18"/>
              </w:rPr>
              <w:t>les termes spécifiques étudiés (Néolithique, sédentaire et mégalithe).</w:t>
            </w:r>
          </w:p>
          <w:p w:rsidR="005B1D1C" w:rsidRDefault="005B1D1C" w:rsidP="005C63D4">
            <w:pPr>
              <w:pStyle w:val="ListParagraph"/>
              <w:numPr>
                <w:ilvl w:val="0"/>
                <w:numId w:val="5"/>
              </w:numPr>
              <w:ind w:left="226" w:hanging="28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Répondre à des questions sur les pratiques artisanales et agricoles étudiées.</w:t>
            </w:r>
          </w:p>
          <w:p w:rsidR="005B1D1C" w:rsidRPr="005C63D4" w:rsidRDefault="005B1D1C" w:rsidP="005C63D4">
            <w:pPr>
              <w:pStyle w:val="ListParagraph"/>
              <w:numPr>
                <w:ilvl w:val="0"/>
                <w:numId w:val="5"/>
              </w:numPr>
              <w:ind w:left="226" w:hanging="28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Savoir associer des éléments et leur période (à l’oral en cours de séance).</w:t>
            </w:r>
          </w:p>
        </w:tc>
        <w:tc>
          <w:tcPr>
            <w:tcW w:w="473" w:type="dxa"/>
          </w:tcPr>
          <w:p w:rsidR="005B1D1C" w:rsidRDefault="005B1D1C" w:rsidP="00A53192">
            <w:pPr>
              <w:rPr>
                <w:sz w:val="16"/>
                <w:szCs w:val="16"/>
              </w:rPr>
            </w:pPr>
          </w:p>
        </w:tc>
      </w:tr>
      <w:tr w:rsidR="005B1D1C" w:rsidTr="00B30978">
        <w:trPr>
          <w:trHeight w:val="2041"/>
        </w:trPr>
        <w:tc>
          <w:tcPr>
            <w:tcW w:w="2950" w:type="dxa"/>
          </w:tcPr>
          <w:p w:rsidR="005B1D1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S’exprimer à l’oral comme à l’écrit dans un vocabulaire approprié.</w:t>
            </w:r>
          </w:p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0B0E31" w:rsidRDefault="005B1D1C" w:rsidP="0039339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 p1</w:t>
            </w:r>
          </w:p>
        </w:tc>
        <w:tc>
          <w:tcPr>
            <w:tcW w:w="540" w:type="dxa"/>
          </w:tcPr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2B6EE0">
              <w:rPr>
                <w:rFonts w:ascii="Comic Sans MS" w:hAnsi="Comic Sans MS" w:cs="Comic Sans MS"/>
                <w:sz w:val="18"/>
                <w:szCs w:val="18"/>
              </w:rPr>
              <w:t>1</w:t>
            </w: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2B6EE0">
              <w:rPr>
                <w:rFonts w:ascii="Comic Sans MS" w:hAnsi="Comic Sans MS" w:cs="Comic Sans MS"/>
                <w:sz w:val="18"/>
                <w:szCs w:val="18"/>
              </w:rPr>
              <w:t>1.1.1</w:t>
            </w: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2B6EE0" w:rsidRDefault="005B1D1C" w:rsidP="002B6EE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2B6EE0">
              <w:rPr>
                <w:rFonts w:ascii="Comic Sans MS" w:hAnsi="Comic Sans MS" w:cs="Comic Sans MS"/>
                <w:sz w:val="18"/>
                <w:szCs w:val="18"/>
              </w:rPr>
              <w:t>1.2.2</w:t>
            </w:r>
          </w:p>
        </w:tc>
        <w:tc>
          <w:tcPr>
            <w:tcW w:w="2306" w:type="dxa"/>
          </w:tcPr>
          <w:p w:rsidR="005B1D1C" w:rsidRDefault="005B1D1C" w:rsidP="00393398">
            <w:pPr>
              <w:pStyle w:val="ListParagraph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393398">
              <w:rPr>
                <w:rFonts w:ascii="Comic Sans MS" w:hAnsi="Comic Sans MS" w:cs="Comic Sans MS"/>
                <w:sz w:val="18"/>
                <w:szCs w:val="18"/>
              </w:rPr>
              <w:t>Présenter un travail à la classe en s’exprimant en phrases correctes et dans un vocabulaire approprié.</w:t>
            </w:r>
          </w:p>
          <w:p w:rsidR="005B1D1C" w:rsidRPr="00393398" w:rsidRDefault="005B1D1C" w:rsidP="00393398">
            <w:pPr>
              <w:pStyle w:val="ListParagraph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Réagir à l’exposé d’un autre élève en apportant un point de vue motivé.</w:t>
            </w:r>
          </w:p>
        </w:tc>
        <w:tc>
          <w:tcPr>
            <w:tcW w:w="1521" w:type="dxa"/>
          </w:tcPr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Participer à l’examen collectif de documents.</w:t>
            </w:r>
          </w:p>
        </w:tc>
        <w:tc>
          <w:tcPr>
            <w:tcW w:w="1260" w:type="dxa"/>
          </w:tcPr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Lire et comprendre un ensemble documentaire.</w:t>
            </w:r>
          </w:p>
        </w:tc>
        <w:tc>
          <w:tcPr>
            <w:tcW w:w="1080" w:type="dxa"/>
          </w:tcPr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39339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Noter les informations dégagées pendant l’examen des documents.</w:t>
            </w:r>
          </w:p>
        </w:tc>
        <w:tc>
          <w:tcPr>
            <w:tcW w:w="2884" w:type="dxa"/>
          </w:tcPr>
          <w:p w:rsidR="005B1D1C" w:rsidRDefault="005B1D1C" w:rsidP="003E487A">
            <w:pPr>
              <w:pStyle w:val="ListParagraph"/>
              <w:numPr>
                <w:ilvl w:val="0"/>
                <w:numId w:val="7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3E487A">
              <w:rPr>
                <w:rFonts w:ascii="Comic Sans MS" w:hAnsi="Comic Sans MS" w:cs="Comic Sans MS"/>
                <w:sz w:val="18"/>
                <w:szCs w:val="18"/>
              </w:rPr>
              <w:t>Après travail par groupes sur un ensemble documentaire, exposer à la classe les découvertes faites, les expliquer et être capable de répondre à des questions posées par des camarades</w:t>
            </w:r>
            <w:r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  <w:p w:rsidR="005B1D1C" w:rsidRPr="003E487A" w:rsidRDefault="005B1D1C" w:rsidP="003E487A">
            <w:pPr>
              <w:pStyle w:val="ListParagraph"/>
              <w:numPr>
                <w:ilvl w:val="0"/>
                <w:numId w:val="7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Participer lors d’un exposé pour questionner ou éclairer.</w:t>
            </w:r>
          </w:p>
        </w:tc>
        <w:tc>
          <w:tcPr>
            <w:tcW w:w="2516" w:type="dxa"/>
          </w:tcPr>
          <w:p w:rsidR="005B1D1C" w:rsidRDefault="005B1D1C" w:rsidP="002B6EE0">
            <w:pPr>
              <w:pStyle w:val="ListParagraph"/>
              <w:numPr>
                <w:ilvl w:val="0"/>
                <w:numId w:val="7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 w:rsidRPr="002B6EE0">
              <w:rPr>
                <w:rFonts w:ascii="Comic Sans MS" w:hAnsi="Comic Sans MS" w:cs="Comic Sans MS"/>
                <w:sz w:val="18"/>
                <w:szCs w:val="18"/>
              </w:rPr>
              <w:t xml:space="preserve">S’appuyer sur </w:t>
            </w:r>
            <w:r>
              <w:rPr>
                <w:rFonts w:ascii="Comic Sans MS" w:hAnsi="Comic Sans MS" w:cs="Comic Sans MS"/>
                <w:sz w:val="18"/>
                <w:szCs w:val="18"/>
              </w:rPr>
              <w:t>ses écrits pour exposer.</w:t>
            </w:r>
          </w:p>
          <w:p w:rsidR="005B1D1C" w:rsidRPr="002B6EE0" w:rsidRDefault="005B1D1C" w:rsidP="002B6EE0">
            <w:pPr>
              <w:pStyle w:val="ListParagraph"/>
              <w:numPr>
                <w:ilvl w:val="0"/>
                <w:numId w:val="7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Utiliser un vocabulaire approprié (évalués globalement au cours de la séance).</w:t>
            </w:r>
          </w:p>
        </w:tc>
        <w:tc>
          <w:tcPr>
            <w:tcW w:w="473" w:type="dxa"/>
          </w:tcPr>
          <w:p w:rsidR="005B1D1C" w:rsidRDefault="005B1D1C" w:rsidP="00A53192">
            <w:pPr>
              <w:rPr>
                <w:sz w:val="16"/>
                <w:szCs w:val="16"/>
              </w:rPr>
            </w:pPr>
          </w:p>
        </w:tc>
      </w:tr>
      <w:tr w:rsidR="005B1D1C" w:rsidTr="00B30978">
        <w:trPr>
          <w:trHeight w:val="2041"/>
        </w:trPr>
        <w:tc>
          <w:tcPr>
            <w:tcW w:w="2950" w:type="dxa"/>
          </w:tcPr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53B1F">
              <w:rPr>
                <w:rFonts w:ascii="Comic Sans MS" w:hAnsi="Comic Sans MS" w:cs="Comic Sans MS"/>
                <w:sz w:val="18"/>
                <w:szCs w:val="18"/>
              </w:rPr>
              <w:t>Reconna</w:t>
            </w:r>
            <w:r>
              <w:rPr>
                <w:rFonts w:ascii="Comic Sans MS" w:hAnsi="Comic Sans MS" w:cs="Comic Sans MS"/>
                <w:sz w:val="18"/>
                <w:szCs w:val="18"/>
              </w:rPr>
              <w:t>ître et décrire des œuvres visuelles ou musicales préalablement étudiées l savoir les situer dans le temps et dans l’espace, identifier le domaine artistique dont elle relèvent , en détailler certaines éléments constitutifs en utilisant quelques termes d’un vocabulaire spécifique.</w:t>
            </w: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353B1F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H p 31</w:t>
            </w:r>
          </w:p>
        </w:tc>
        <w:tc>
          <w:tcPr>
            <w:tcW w:w="540" w:type="dxa"/>
          </w:tcPr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353B1F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5B1D1C" w:rsidRDefault="005B1D1C" w:rsidP="00873FA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B1D1C" w:rsidRPr="00353B1F" w:rsidRDefault="005B1D1C" w:rsidP="00873FA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2306" w:type="dxa"/>
          </w:tcPr>
          <w:p w:rsidR="005B1D1C" w:rsidRPr="00873FA2" w:rsidRDefault="005B1D1C" w:rsidP="00873FA2">
            <w:pPr>
              <w:pStyle w:val="ListParagraph"/>
              <w:numPr>
                <w:ilvl w:val="0"/>
                <w:numId w:val="8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873FA2">
              <w:rPr>
                <w:rFonts w:ascii="Comic Sans MS" w:hAnsi="Comic Sans MS" w:cs="Comic Sans MS"/>
                <w:sz w:val="18"/>
                <w:szCs w:val="18"/>
              </w:rPr>
              <w:t>Apprendre à connaître des œuvres qui appartiennent au patrimoine et à l’art contemporain.</w:t>
            </w:r>
          </w:p>
        </w:tc>
        <w:tc>
          <w:tcPr>
            <w:tcW w:w="1521" w:type="dxa"/>
          </w:tcPr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Donner ses impressions personnelles.</w:t>
            </w:r>
          </w:p>
        </w:tc>
        <w:tc>
          <w:tcPr>
            <w:tcW w:w="1260" w:type="dxa"/>
          </w:tcPr>
          <w:p w:rsidR="005B1D1C" w:rsidRPr="00873FA2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B1D1C" w:rsidRPr="00873FA2" w:rsidRDefault="005B1D1C" w:rsidP="00873FA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Noter dans le tableau d’histoire de l’art, l’élément du patrimoine rencontré.</w:t>
            </w:r>
          </w:p>
        </w:tc>
        <w:tc>
          <w:tcPr>
            <w:tcW w:w="2884" w:type="dxa"/>
          </w:tcPr>
          <w:p w:rsidR="005B1D1C" w:rsidRDefault="005B1D1C" w:rsidP="00873FA2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Etude de l’alignement de menhirs à Carnac.</w:t>
            </w:r>
          </w:p>
          <w:p w:rsidR="005B1D1C" w:rsidRPr="00873FA2" w:rsidRDefault="005B1D1C" w:rsidP="00873FA2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Etude du dolmen de Keriaval à Carnac.</w:t>
            </w:r>
          </w:p>
        </w:tc>
        <w:tc>
          <w:tcPr>
            <w:tcW w:w="2516" w:type="dxa"/>
          </w:tcPr>
          <w:p w:rsidR="005B1D1C" w:rsidRPr="00BF2424" w:rsidRDefault="005B1D1C" w:rsidP="00BF2424">
            <w:pPr>
              <w:pStyle w:val="ListParagraph"/>
              <w:numPr>
                <w:ilvl w:val="0"/>
                <w:numId w:val="8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 w:rsidRPr="00BF2424">
              <w:rPr>
                <w:rFonts w:ascii="Comic Sans MS" w:hAnsi="Comic Sans MS" w:cs="Comic Sans MS"/>
                <w:sz w:val="18"/>
                <w:szCs w:val="18"/>
              </w:rPr>
              <w:t>Donner quelques caractéris</w:t>
            </w:r>
            <w:r>
              <w:rPr>
                <w:rFonts w:ascii="Comic Sans MS" w:hAnsi="Comic Sans MS" w:cs="Comic Sans MS"/>
                <w:sz w:val="18"/>
                <w:szCs w:val="18"/>
              </w:rPr>
              <w:t>tiques à l’oral.</w:t>
            </w:r>
          </w:p>
        </w:tc>
        <w:tc>
          <w:tcPr>
            <w:tcW w:w="473" w:type="dxa"/>
          </w:tcPr>
          <w:p w:rsidR="005B1D1C" w:rsidRDefault="005B1D1C" w:rsidP="00A53192">
            <w:pPr>
              <w:rPr>
                <w:sz w:val="16"/>
                <w:szCs w:val="16"/>
              </w:rPr>
            </w:pPr>
          </w:p>
        </w:tc>
      </w:tr>
    </w:tbl>
    <w:p w:rsidR="005B1D1C" w:rsidRDefault="005B1D1C" w:rsidP="00AE7C51">
      <w:pPr>
        <w:rPr>
          <w:sz w:val="16"/>
          <w:szCs w:val="16"/>
        </w:rPr>
      </w:pPr>
    </w:p>
    <w:p w:rsidR="005B1D1C" w:rsidRDefault="005B1D1C"/>
    <w:sectPr w:rsidR="005B1D1C" w:rsidSect="002E5016">
      <w:headerReference w:type="default" r:id="rId7"/>
      <w:footerReference w:type="default" r:id="rId8"/>
      <w:pgSz w:w="16838" w:h="11906" w:orient="landscape" w:code="9"/>
      <w:pgMar w:top="567" w:right="454" w:bottom="567" w:left="45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1C" w:rsidRDefault="005B1D1C" w:rsidP="00AE7C51">
      <w:r>
        <w:separator/>
      </w:r>
    </w:p>
  </w:endnote>
  <w:endnote w:type="continuationSeparator" w:id="1">
    <w:p w:rsidR="005B1D1C" w:rsidRDefault="005B1D1C" w:rsidP="00AE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1C" w:rsidRDefault="005B1D1C" w:rsidP="0054387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1D1C" w:rsidRDefault="005B1D1C" w:rsidP="00A058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1C" w:rsidRDefault="005B1D1C" w:rsidP="00AE7C51">
      <w:r>
        <w:separator/>
      </w:r>
    </w:p>
  </w:footnote>
  <w:footnote w:type="continuationSeparator" w:id="1">
    <w:p w:rsidR="005B1D1C" w:rsidRDefault="005B1D1C" w:rsidP="00AE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68" w:type="dxa"/>
      <w:tblCellMar>
        <w:left w:w="70" w:type="dxa"/>
        <w:right w:w="70" w:type="dxa"/>
      </w:tblCellMar>
      <w:tblLook w:val="0000"/>
    </w:tblPr>
    <w:tblGrid>
      <w:gridCol w:w="5356"/>
      <w:gridCol w:w="5357"/>
      <w:gridCol w:w="5357"/>
    </w:tblGrid>
    <w:tr w:rsidR="005B1D1C">
      <w:trPr>
        <w:trHeight w:val="347"/>
      </w:trPr>
      <w:tc>
        <w:tcPr>
          <w:tcW w:w="5059" w:type="dxa"/>
          <w:vAlign w:val="center"/>
        </w:tcPr>
        <w:p w:rsidR="005B1D1C" w:rsidRDefault="005B1D1C">
          <w:pPr>
            <w:pStyle w:val="Head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CIRCONSCRIPTION DE PERIGUEUX II</w:t>
          </w:r>
        </w:p>
      </w:tc>
      <w:tc>
        <w:tcPr>
          <w:tcW w:w="5059" w:type="dxa"/>
          <w:vAlign w:val="center"/>
        </w:tcPr>
        <w:p w:rsidR="005B1D1C" w:rsidRDefault="005B1D1C">
          <w:pPr>
            <w:pStyle w:val="Header"/>
            <w:jc w:val="center"/>
            <w:rPr>
              <w:rFonts w:ascii="Times" w:hAnsi="Times" w:cs="Times"/>
              <w:b/>
              <w:bCs/>
              <w:spacing w:val="20"/>
            </w:rPr>
          </w:pPr>
          <w:r>
            <w:rPr>
              <w:rFonts w:ascii="Times" w:hAnsi="Times" w:cs="Times"/>
              <w:b/>
              <w:bCs/>
              <w:spacing w:val="20"/>
            </w:rPr>
            <w:t>PROGRESSION DES APPRENTISSAGES</w:t>
          </w:r>
        </w:p>
      </w:tc>
      <w:tc>
        <w:tcPr>
          <w:tcW w:w="5059" w:type="dxa"/>
          <w:vAlign w:val="center"/>
        </w:tcPr>
        <w:p w:rsidR="005B1D1C" w:rsidRDefault="005B1D1C">
          <w:pPr>
            <w:pStyle w:val="Header"/>
            <w:jc w:val="right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septembre 2008</w:t>
          </w:r>
        </w:p>
      </w:tc>
    </w:tr>
  </w:tbl>
  <w:p w:rsidR="005B1D1C" w:rsidRDefault="005B1D1C">
    <w:pPr>
      <w:pStyle w:val="Header"/>
    </w:pPr>
  </w:p>
  <w:tbl>
    <w:tblPr>
      <w:tblW w:w="4873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17"/>
      <w:gridCol w:w="4017"/>
      <w:gridCol w:w="4018"/>
      <w:gridCol w:w="3610"/>
    </w:tblGrid>
    <w:tr w:rsidR="005B1D1C">
      <w:trPr>
        <w:trHeight w:val="275"/>
      </w:trPr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B1D1C" w:rsidRDefault="005B1D1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Cycle : III</w:t>
          </w:r>
        </w:p>
      </w:tc>
      <w:tc>
        <w:tcPr>
          <w:tcW w:w="40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B1D1C" w:rsidRDefault="005B1D1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Classe : CM1/CM2</w:t>
          </w:r>
        </w:p>
      </w:tc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B1D1C" w:rsidRDefault="005B1D1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>Période  n°: 1</w:t>
          </w:r>
        </w:p>
      </w:tc>
      <w:tc>
        <w:tcPr>
          <w:tcW w:w="36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B1D1C" w:rsidRDefault="005B1D1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Année</w:t>
          </w: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 xml:space="preserve"> scolaire : 2008 – 2009</w:t>
          </w:r>
        </w:p>
      </w:tc>
    </w:tr>
  </w:tbl>
  <w:p w:rsidR="005B1D1C" w:rsidRDefault="005B1D1C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7A3"/>
    <w:multiLevelType w:val="hybridMultilevel"/>
    <w:tmpl w:val="2BE42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66710A"/>
    <w:multiLevelType w:val="hybridMultilevel"/>
    <w:tmpl w:val="B41E8CEE"/>
    <w:lvl w:ilvl="0" w:tplc="FAAC4C5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42796"/>
    <w:multiLevelType w:val="hybridMultilevel"/>
    <w:tmpl w:val="AC002222"/>
    <w:lvl w:ilvl="0" w:tplc="FAAC4C5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4C0CBB"/>
    <w:multiLevelType w:val="hybridMultilevel"/>
    <w:tmpl w:val="0958D320"/>
    <w:lvl w:ilvl="0" w:tplc="FAAC4C5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EB1421"/>
    <w:multiLevelType w:val="hybridMultilevel"/>
    <w:tmpl w:val="891671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BC71FD7"/>
    <w:multiLevelType w:val="hybridMultilevel"/>
    <w:tmpl w:val="66D0B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E15A55"/>
    <w:multiLevelType w:val="hybridMultilevel"/>
    <w:tmpl w:val="B5C85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3F02AF"/>
    <w:multiLevelType w:val="hybridMultilevel"/>
    <w:tmpl w:val="6D78F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51"/>
    <w:rsid w:val="000007F4"/>
    <w:rsid w:val="000134AF"/>
    <w:rsid w:val="00014698"/>
    <w:rsid w:val="0001611B"/>
    <w:rsid w:val="00017FA4"/>
    <w:rsid w:val="000234FB"/>
    <w:rsid w:val="00024E15"/>
    <w:rsid w:val="000265AC"/>
    <w:rsid w:val="00026BCA"/>
    <w:rsid w:val="000310E5"/>
    <w:rsid w:val="00037075"/>
    <w:rsid w:val="0004403C"/>
    <w:rsid w:val="0004577F"/>
    <w:rsid w:val="00047CA5"/>
    <w:rsid w:val="000506A5"/>
    <w:rsid w:val="00071A67"/>
    <w:rsid w:val="00072BC6"/>
    <w:rsid w:val="00073FE7"/>
    <w:rsid w:val="00081846"/>
    <w:rsid w:val="00085D86"/>
    <w:rsid w:val="000955B1"/>
    <w:rsid w:val="000A2452"/>
    <w:rsid w:val="000A2A31"/>
    <w:rsid w:val="000A6FC4"/>
    <w:rsid w:val="000B0E31"/>
    <w:rsid w:val="000B1AE9"/>
    <w:rsid w:val="000B759B"/>
    <w:rsid w:val="000C00C7"/>
    <w:rsid w:val="000C3A26"/>
    <w:rsid w:val="000C3F42"/>
    <w:rsid w:val="000D25C4"/>
    <w:rsid w:val="000D34BD"/>
    <w:rsid w:val="000D7260"/>
    <w:rsid w:val="000E36AD"/>
    <w:rsid w:val="000E5DA1"/>
    <w:rsid w:val="000E5FA0"/>
    <w:rsid w:val="000E6B16"/>
    <w:rsid w:val="000F1593"/>
    <w:rsid w:val="000F22CD"/>
    <w:rsid w:val="000F248A"/>
    <w:rsid w:val="000F515B"/>
    <w:rsid w:val="00110EA2"/>
    <w:rsid w:val="0012329E"/>
    <w:rsid w:val="001251BB"/>
    <w:rsid w:val="00125F37"/>
    <w:rsid w:val="0013156D"/>
    <w:rsid w:val="00131CDE"/>
    <w:rsid w:val="001350BC"/>
    <w:rsid w:val="00143055"/>
    <w:rsid w:val="00146A31"/>
    <w:rsid w:val="00146F71"/>
    <w:rsid w:val="001553F3"/>
    <w:rsid w:val="00160B7C"/>
    <w:rsid w:val="00185D97"/>
    <w:rsid w:val="00190B5B"/>
    <w:rsid w:val="0019466D"/>
    <w:rsid w:val="001A273C"/>
    <w:rsid w:val="001A328D"/>
    <w:rsid w:val="001B1BEE"/>
    <w:rsid w:val="001B3FC7"/>
    <w:rsid w:val="001B5ADC"/>
    <w:rsid w:val="001C06EB"/>
    <w:rsid w:val="001C23A6"/>
    <w:rsid w:val="001C2751"/>
    <w:rsid w:val="001D04B0"/>
    <w:rsid w:val="001D54BE"/>
    <w:rsid w:val="001E0325"/>
    <w:rsid w:val="001E0A44"/>
    <w:rsid w:val="001F31A1"/>
    <w:rsid w:val="001F62F0"/>
    <w:rsid w:val="002010D2"/>
    <w:rsid w:val="0020742C"/>
    <w:rsid w:val="0021121E"/>
    <w:rsid w:val="00212A0C"/>
    <w:rsid w:val="00214391"/>
    <w:rsid w:val="002224AC"/>
    <w:rsid w:val="00225743"/>
    <w:rsid w:val="0022703C"/>
    <w:rsid w:val="002421E0"/>
    <w:rsid w:val="00242C09"/>
    <w:rsid w:val="0025355F"/>
    <w:rsid w:val="002535A8"/>
    <w:rsid w:val="0025474B"/>
    <w:rsid w:val="0026347C"/>
    <w:rsid w:val="00265C23"/>
    <w:rsid w:val="0027169B"/>
    <w:rsid w:val="0027270F"/>
    <w:rsid w:val="0027479D"/>
    <w:rsid w:val="00275E09"/>
    <w:rsid w:val="0027778D"/>
    <w:rsid w:val="002A1C21"/>
    <w:rsid w:val="002B42CF"/>
    <w:rsid w:val="002B4686"/>
    <w:rsid w:val="002B46AD"/>
    <w:rsid w:val="002B4E68"/>
    <w:rsid w:val="002B6EE0"/>
    <w:rsid w:val="002B7849"/>
    <w:rsid w:val="002C4798"/>
    <w:rsid w:val="002D6509"/>
    <w:rsid w:val="002E5016"/>
    <w:rsid w:val="002F4DCC"/>
    <w:rsid w:val="00303817"/>
    <w:rsid w:val="003124FF"/>
    <w:rsid w:val="00323F01"/>
    <w:rsid w:val="003257C3"/>
    <w:rsid w:val="00332221"/>
    <w:rsid w:val="00340BB9"/>
    <w:rsid w:val="0034538F"/>
    <w:rsid w:val="00351C70"/>
    <w:rsid w:val="00353B1F"/>
    <w:rsid w:val="00355814"/>
    <w:rsid w:val="00364C08"/>
    <w:rsid w:val="00370645"/>
    <w:rsid w:val="00370CE8"/>
    <w:rsid w:val="0037622F"/>
    <w:rsid w:val="00381807"/>
    <w:rsid w:val="00384534"/>
    <w:rsid w:val="00384C2C"/>
    <w:rsid w:val="00393398"/>
    <w:rsid w:val="003A7469"/>
    <w:rsid w:val="003B57A8"/>
    <w:rsid w:val="003C136B"/>
    <w:rsid w:val="003D2F7D"/>
    <w:rsid w:val="003D2FE6"/>
    <w:rsid w:val="003D4798"/>
    <w:rsid w:val="003D68BA"/>
    <w:rsid w:val="003E2D53"/>
    <w:rsid w:val="003E3B66"/>
    <w:rsid w:val="003E487A"/>
    <w:rsid w:val="003E5732"/>
    <w:rsid w:val="003F1158"/>
    <w:rsid w:val="003F7597"/>
    <w:rsid w:val="003F792E"/>
    <w:rsid w:val="004012FC"/>
    <w:rsid w:val="00403715"/>
    <w:rsid w:val="00410515"/>
    <w:rsid w:val="00411BB1"/>
    <w:rsid w:val="004121F9"/>
    <w:rsid w:val="0041603E"/>
    <w:rsid w:val="00426088"/>
    <w:rsid w:val="0043756B"/>
    <w:rsid w:val="00443B62"/>
    <w:rsid w:val="00457368"/>
    <w:rsid w:val="00461D45"/>
    <w:rsid w:val="00466381"/>
    <w:rsid w:val="004700AC"/>
    <w:rsid w:val="00474E87"/>
    <w:rsid w:val="004768C4"/>
    <w:rsid w:val="004805B8"/>
    <w:rsid w:val="004835B5"/>
    <w:rsid w:val="00484FFF"/>
    <w:rsid w:val="00487358"/>
    <w:rsid w:val="00491C38"/>
    <w:rsid w:val="004A3F01"/>
    <w:rsid w:val="004A6BDF"/>
    <w:rsid w:val="004B5892"/>
    <w:rsid w:val="004B6707"/>
    <w:rsid w:val="004C0553"/>
    <w:rsid w:val="004D5F23"/>
    <w:rsid w:val="004E731E"/>
    <w:rsid w:val="004F01E8"/>
    <w:rsid w:val="004F2788"/>
    <w:rsid w:val="004F5C2C"/>
    <w:rsid w:val="00510452"/>
    <w:rsid w:val="005235EC"/>
    <w:rsid w:val="00523B37"/>
    <w:rsid w:val="00530000"/>
    <w:rsid w:val="00531744"/>
    <w:rsid w:val="00532EE5"/>
    <w:rsid w:val="00535059"/>
    <w:rsid w:val="005413C6"/>
    <w:rsid w:val="00543878"/>
    <w:rsid w:val="00554238"/>
    <w:rsid w:val="0055724C"/>
    <w:rsid w:val="0056692C"/>
    <w:rsid w:val="00575AC6"/>
    <w:rsid w:val="005806A8"/>
    <w:rsid w:val="00582215"/>
    <w:rsid w:val="0058457C"/>
    <w:rsid w:val="00585ABC"/>
    <w:rsid w:val="00591EA9"/>
    <w:rsid w:val="0059556C"/>
    <w:rsid w:val="00597932"/>
    <w:rsid w:val="005A1A1E"/>
    <w:rsid w:val="005A2615"/>
    <w:rsid w:val="005A379D"/>
    <w:rsid w:val="005A4AB6"/>
    <w:rsid w:val="005B17E1"/>
    <w:rsid w:val="005B1D1C"/>
    <w:rsid w:val="005C63D4"/>
    <w:rsid w:val="005C77BF"/>
    <w:rsid w:val="005C7A95"/>
    <w:rsid w:val="005D06B3"/>
    <w:rsid w:val="005D289F"/>
    <w:rsid w:val="005D35DC"/>
    <w:rsid w:val="005D5941"/>
    <w:rsid w:val="005D7A14"/>
    <w:rsid w:val="005E0DBA"/>
    <w:rsid w:val="005E5613"/>
    <w:rsid w:val="005E7700"/>
    <w:rsid w:val="005F0247"/>
    <w:rsid w:val="005F03E7"/>
    <w:rsid w:val="005F3EF0"/>
    <w:rsid w:val="005F69A5"/>
    <w:rsid w:val="005F6E3C"/>
    <w:rsid w:val="00614976"/>
    <w:rsid w:val="00626567"/>
    <w:rsid w:val="006432A0"/>
    <w:rsid w:val="0064398B"/>
    <w:rsid w:val="00645475"/>
    <w:rsid w:val="00645BAA"/>
    <w:rsid w:val="00661583"/>
    <w:rsid w:val="00661D40"/>
    <w:rsid w:val="00671AC3"/>
    <w:rsid w:val="006836E1"/>
    <w:rsid w:val="006847CB"/>
    <w:rsid w:val="00692868"/>
    <w:rsid w:val="00692B68"/>
    <w:rsid w:val="0069392C"/>
    <w:rsid w:val="00693DFD"/>
    <w:rsid w:val="006A3A34"/>
    <w:rsid w:val="006B0DFA"/>
    <w:rsid w:val="006B17CB"/>
    <w:rsid w:val="006B3F30"/>
    <w:rsid w:val="006B53ED"/>
    <w:rsid w:val="006B67F2"/>
    <w:rsid w:val="006C2DE8"/>
    <w:rsid w:val="006C4EB3"/>
    <w:rsid w:val="006C6C7F"/>
    <w:rsid w:val="006D3791"/>
    <w:rsid w:val="006D3A92"/>
    <w:rsid w:val="006E5B11"/>
    <w:rsid w:val="006E68B6"/>
    <w:rsid w:val="006F1304"/>
    <w:rsid w:val="006F1375"/>
    <w:rsid w:val="00720E0E"/>
    <w:rsid w:val="007225C5"/>
    <w:rsid w:val="0072532A"/>
    <w:rsid w:val="00727DC6"/>
    <w:rsid w:val="00731A0E"/>
    <w:rsid w:val="00732D2B"/>
    <w:rsid w:val="00736B4C"/>
    <w:rsid w:val="00740DE7"/>
    <w:rsid w:val="00744FCC"/>
    <w:rsid w:val="007531BC"/>
    <w:rsid w:val="00754720"/>
    <w:rsid w:val="00774814"/>
    <w:rsid w:val="007760FD"/>
    <w:rsid w:val="007825F1"/>
    <w:rsid w:val="00784BA8"/>
    <w:rsid w:val="00786DE6"/>
    <w:rsid w:val="007A5957"/>
    <w:rsid w:val="007B06D3"/>
    <w:rsid w:val="007B1EFA"/>
    <w:rsid w:val="007B5767"/>
    <w:rsid w:val="007B6E1A"/>
    <w:rsid w:val="007C2384"/>
    <w:rsid w:val="007D0126"/>
    <w:rsid w:val="007D2BF4"/>
    <w:rsid w:val="007E2179"/>
    <w:rsid w:val="007E3CA5"/>
    <w:rsid w:val="007E6AA1"/>
    <w:rsid w:val="007E78AD"/>
    <w:rsid w:val="00814448"/>
    <w:rsid w:val="00817331"/>
    <w:rsid w:val="00827A74"/>
    <w:rsid w:val="00833649"/>
    <w:rsid w:val="008355D8"/>
    <w:rsid w:val="00844893"/>
    <w:rsid w:val="00864C26"/>
    <w:rsid w:val="00870B65"/>
    <w:rsid w:val="00873FA2"/>
    <w:rsid w:val="00886843"/>
    <w:rsid w:val="008920FF"/>
    <w:rsid w:val="00892E15"/>
    <w:rsid w:val="00895538"/>
    <w:rsid w:val="00896FD1"/>
    <w:rsid w:val="008A0E10"/>
    <w:rsid w:val="008A45C9"/>
    <w:rsid w:val="008B04BD"/>
    <w:rsid w:val="008C1AF8"/>
    <w:rsid w:val="008C388B"/>
    <w:rsid w:val="008C6687"/>
    <w:rsid w:val="008D4F34"/>
    <w:rsid w:val="008F3BB7"/>
    <w:rsid w:val="008F402B"/>
    <w:rsid w:val="008F7A3D"/>
    <w:rsid w:val="00913081"/>
    <w:rsid w:val="009307DA"/>
    <w:rsid w:val="0093250A"/>
    <w:rsid w:val="00933C9B"/>
    <w:rsid w:val="0094027F"/>
    <w:rsid w:val="00942C96"/>
    <w:rsid w:val="0095426B"/>
    <w:rsid w:val="00965FFD"/>
    <w:rsid w:val="00967A10"/>
    <w:rsid w:val="00973937"/>
    <w:rsid w:val="009741BE"/>
    <w:rsid w:val="009825C0"/>
    <w:rsid w:val="009850F6"/>
    <w:rsid w:val="00990F4E"/>
    <w:rsid w:val="00991907"/>
    <w:rsid w:val="00992122"/>
    <w:rsid w:val="00995F44"/>
    <w:rsid w:val="009A44C5"/>
    <w:rsid w:val="009A4B9C"/>
    <w:rsid w:val="009C2617"/>
    <w:rsid w:val="009C50F4"/>
    <w:rsid w:val="009C6B75"/>
    <w:rsid w:val="009F1A79"/>
    <w:rsid w:val="009F248C"/>
    <w:rsid w:val="009F2B1F"/>
    <w:rsid w:val="009F6FF8"/>
    <w:rsid w:val="00A00662"/>
    <w:rsid w:val="00A031F7"/>
    <w:rsid w:val="00A058F3"/>
    <w:rsid w:val="00A068D4"/>
    <w:rsid w:val="00A06CD5"/>
    <w:rsid w:val="00A1222C"/>
    <w:rsid w:val="00A135FD"/>
    <w:rsid w:val="00A15C0F"/>
    <w:rsid w:val="00A17C16"/>
    <w:rsid w:val="00A21ED0"/>
    <w:rsid w:val="00A27939"/>
    <w:rsid w:val="00A27EC8"/>
    <w:rsid w:val="00A341EF"/>
    <w:rsid w:val="00A357D3"/>
    <w:rsid w:val="00A47A3E"/>
    <w:rsid w:val="00A53192"/>
    <w:rsid w:val="00A64DD1"/>
    <w:rsid w:val="00A739EE"/>
    <w:rsid w:val="00A82F40"/>
    <w:rsid w:val="00A95252"/>
    <w:rsid w:val="00A97C39"/>
    <w:rsid w:val="00AA34C5"/>
    <w:rsid w:val="00AA658F"/>
    <w:rsid w:val="00AA75C4"/>
    <w:rsid w:val="00AB52E2"/>
    <w:rsid w:val="00AC26B9"/>
    <w:rsid w:val="00AC4109"/>
    <w:rsid w:val="00AC4BB2"/>
    <w:rsid w:val="00AC6B61"/>
    <w:rsid w:val="00AE0AC7"/>
    <w:rsid w:val="00AE4946"/>
    <w:rsid w:val="00AE7C51"/>
    <w:rsid w:val="00AF0131"/>
    <w:rsid w:val="00AF4E54"/>
    <w:rsid w:val="00B00B09"/>
    <w:rsid w:val="00B00D04"/>
    <w:rsid w:val="00B027E7"/>
    <w:rsid w:val="00B0638A"/>
    <w:rsid w:val="00B144FB"/>
    <w:rsid w:val="00B1704B"/>
    <w:rsid w:val="00B22AB0"/>
    <w:rsid w:val="00B23EF2"/>
    <w:rsid w:val="00B30978"/>
    <w:rsid w:val="00B30CF6"/>
    <w:rsid w:val="00B374B3"/>
    <w:rsid w:val="00B43304"/>
    <w:rsid w:val="00B54674"/>
    <w:rsid w:val="00B54E47"/>
    <w:rsid w:val="00B608CA"/>
    <w:rsid w:val="00B6358F"/>
    <w:rsid w:val="00B66A41"/>
    <w:rsid w:val="00B670E6"/>
    <w:rsid w:val="00B74E3C"/>
    <w:rsid w:val="00B756FC"/>
    <w:rsid w:val="00B84908"/>
    <w:rsid w:val="00B86CB7"/>
    <w:rsid w:val="00B87958"/>
    <w:rsid w:val="00B909A2"/>
    <w:rsid w:val="00B90B5F"/>
    <w:rsid w:val="00B95D13"/>
    <w:rsid w:val="00B9708D"/>
    <w:rsid w:val="00BA6A2E"/>
    <w:rsid w:val="00BB1B7D"/>
    <w:rsid w:val="00BB3285"/>
    <w:rsid w:val="00BB39EA"/>
    <w:rsid w:val="00BB4790"/>
    <w:rsid w:val="00BC1BA8"/>
    <w:rsid w:val="00BC377C"/>
    <w:rsid w:val="00BC4CB7"/>
    <w:rsid w:val="00BC6BF8"/>
    <w:rsid w:val="00BE2241"/>
    <w:rsid w:val="00BE4A47"/>
    <w:rsid w:val="00BE4E21"/>
    <w:rsid w:val="00BE57A1"/>
    <w:rsid w:val="00BF0D30"/>
    <w:rsid w:val="00BF2424"/>
    <w:rsid w:val="00C07E4F"/>
    <w:rsid w:val="00C12863"/>
    <w:rsid w:val="00C177EE"/>
    <w:rsid w:val="00C24663"/>
    <w:rsid w:val="00C253EE"/>
    <w:rsid w:val="00C26CDE"/>
    <w:rsid w:val="00C3091E"/>
    <w:rsid w:val="00C34B53"/>
    <w:rsid w:val="00C405FC"/>
    <w:rsid w:val="00C44D3D"/>
    <w:rsid w:val="00C47969"/>
    <w:rsid w:val="00C51BA4"/>
    <w:rsid w:val="00C56A62"/>
    <w:rsid w:val="00C57F56"/>
    <w:rsid w:val="00C61EF3"/>
    <w:rsid w:val="00C62E2F"/>
    <w:rsid w:val="00C72A9F"/>
    <w:rsid w:val="00C73E33"/>
    <w:rsid w:val="00C74F95"/>
    <w:rsid w:val="00C83F52"/>
    <w:rsid w:val="00C87146"/>
    <w:rsid w:val="00C96375"/>
    <w:rsid w:val="00CA0074"/>
    <w:rsid w:val="00CA2ADD"/>
    <w:rsid w:val="00CA2F3B"/>
    <w:rsid w:val="00CA7C2C"/>
    <w:rsid w:val="00CB305B"/>
    <w:rsid w:val="00CC5ABB"/>
    <w:rsid w:val="00CC6354"/>
    <w:rsid w:val="00CC7B52"/>
    <w:rsid w:val="00CD114B"/>
    <w:rsid w:val="00CD7B91"/>
    <w:rsid w:val="00CE3A11"/>
    <w:rsid w:val="00CF327B"/>
    <w:rsid w:val="00D02410"/>
    <w:rsid w:val="00D039CE"/>
    <w:rsid w:val="00D146ED"/>
    <w:rsid w:val="00D1489B"/>
    <w:rsid w:val="00D17B00"/>
    <w:rsid w:val="00D30FA4"/>
    <w:rsid w:val="00D41B9B"/>
    <w:rsid w:val="00D42BE1"/>
    <w:rsid w:val="00D47396"/>
    <w:rsid w:val="00D47A56"/>
    <w:rsid w:val="00D50875"/>
    <w:rsid w:val="00D532AA"/>
    <w:rsid w:val="00D56D19"/>
    <w:rsid w:val="00D57F35"/>
    <w:rsid w:val="00D60629"/>
    <w:rsid w:val="00D633F8"/>
    <w:rsid w:val="00D81CAE"/>
    <w:rsid w:val="00D840D8"/>
    <w:rsid w:val="00D914BD"/>
    <w:rsid w:val="00DA29F4"/>
    <w:rsid w:val="00DA5EAE"/>
    <w:rsid w:val="00DB275A"/>
    <w:rsid w:val="00DC03C1"/>
    <w:rsid w:val="00DC21C1"/>
    <w:rsid w:val="00DC4001"/>
    <w:rsid w:val="00DC4988"/>
    <w:rsid w:val="00DD1606"/>
    <w:rsid w:val="00DD6755"/>
    <w:rsid w:val="00DE63B0"/>
    <w:rsid w:val="00DE75DF"/>
    <w:rsid w:val="00DF3F73"/>
    <w:rsid w:val="00E04294"/>
    <w:rsid w:val="00E05C9B"/>
    <w:rsid w:val="00E109AD"/>
    <w:rsid w:val="00E129C4"/>
    <w:rsid w:val="00E16330"/>
    <w:rsid w:val="00E24397"/>
    <w:rsid w:val="00E24EE6"/>
    <w:rsid w:val="00E2602B"/>
    <w:rsid w:val="00E275FD"/>
    <w:rsid w:val="00E362A3"/>
    <w:rsid w:val="00E40E36"/>
    <w:rsid w:val="00E46E8B"/>
    <w:rsid w:val="00E55F61"/>
    <w:rsid w:val="00E75AE3"/>
    <w:rsid w:val="00E771FB"/>
    <w:rsid w:val="00E90DE0"/>
    <w:rsid w:val="00E93639"/>
    <w:rsid w:val="00E9394B"/>
    <w:rsid w:val="00E952CF"/>
    <w:rsid w:val="00E977E0"/>
    <w:rsid w:val="00EB3564"/>
    <w:rsid w:val="00EB5233"/>
    <w:rsid w:val="00EC66A8"/>
    <w:rsid w:val="00EE0766"/>
    <w:rsid w:val="00EE5709"/>
    <w:rsid w:val="00EE5770"/>
    <w:rsid w:val="00EF12BD"/>
    <w:rsid w:val="00F01F20"/>
    <w:rsid w:val="00F06118"/>
    <w:rsid w:val="00F20FE8"/>
    <w:rsid w:val="00F258B6"/>
    <w:rsid w:val="00F33A0D"/>
    <w:rsid w:val="00F357D8"/>
    <w:rsid w:val="00F3634D"/>
    <w:rsid w:val="00F37FB9"/>
    <w:rsid w:val="00F41B20"/>
    <w:rsid w:val="00F43610"/>
    <w:rsid w:val="00F46269"/>
    <w:rsid w:val="00F51F9A"/>
    <w:rsid w:val="00F6185A"/>
    <w:rsid w:val="00F659BF"/>
    <w:rsid w:val="00F6626B"/>
    <w:rsid w:val="00F6676B"/>
    <w:rsid w:val="00F71222"/>
    <w:rsid w:val="00F759B5"/>
    <w:rsid w:val="00F85D63"/>
    <w:rsid w:val="00F95E07"/>
    <w:rsid w:val="00F96054"/>
    <w:rsid w:val="00F966CB"/>
    <w:rsid w:val="00F974AA"/>
    <w:rsid w:val="00FA220C"/>
    <w:rsid w:val="00FA315A"/>
    <w:rsid w:val="00FB241B"/>
    <w:rsid w:val="00FB4791"/>
    <w:rsid w:val="00FB7905"/>
    <w:rsid w:val="00FC49DE"/>
    <w:rsid w:val="00FD232E"/>
    <w:rsid w:val="00FE58CE"/>
    <w:rsid w:val="00FE5CDC"/>
    <w:rsid w:val="00FE628A"/>
    <w:rsid w:val="00FE69AD"/>
    <w:rsid w:val="00F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5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7C51"/>
    <w:pPr>
      <w:keepNext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7C51"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C51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7C51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7C51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7C51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7C51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7C51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AE7C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C51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AE7C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C51"/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0506A5"/>
    <w:pPr>
      <w:ind w:left="720"/>
    </w:pPr>
  </w:style>
  <w:style w:type="character" w:styleId="PageNumber">
    <w:name w:val="page number"/>
    <w:basedOn w:val="DefaultParagraphFont"/>
    <w:uiPriority w:val="99"/>
    <w:rsid w:val="00A05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534</Words>
  <Characters>2938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DISCIPLINAIRE : HISTOIRE -  LE  NEOLITHIQUE</dc:title>
  <dc:subject/>
  <dc:creator> </dc:creator>
  <cp:keywords/>
  <dc:description/>
  <cp:lastModifiedBy>IEN-Périgueux 2</cp:lastModifiedBy>
  <cp:revision>4</cp:revision>
  <cp:lastPrinted>2009-03-14T10:16:00Z</cp:lastPrinted>
  <dcterms:created xsi:type="dcterms:W3CDTF">2009-04-30T06:45:00Z</dcterms:created>
  <dcterms:modified xsi:type="dcterms:W3CDTF">2009-06-10T08:38:00Z</dcterms:modified>
</cp:coreProperties>
</file>